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KI-Richtlinie von [Firmenname]</w:t>
      </w:r>
    </w:p>
    <w:p>
      <w:r>
        <w:rPr>
          <w:b/>
          <w:i/>
        </w:rPr>
        <w:t>Hinweis zur Vorlage: Diese Vorlage ist keine Rechtsberatung.</w:t>
      </w:r>
      <w:r>
        <w:rPr>
          <w:i/>
        </w:rPr>
        <w:t xml:space="preserve"> Die Vorlage stammt von architect5 (architect5.com) und ist ein allgemeines Muster, das keine Prüfung im Einzelfall ersetzt. Prüfe sie für dein Unternehmen und passe sie an, am besten gemeinsam mit deiner Rechtsberatung und, für den Datenschutz, mit der Person, die bei dir für Datenschutz zuständig ist. Die Angaben zur EU-KI-Verordnung und zur DSGVO geben den Stand vom 13. Oktober 2026 wieder; Gesetze und ihre Auslegung können sich ändern. Alles in eckigen Klammern ist ein Platzhalter. Entferne diesen Hinweis samt Herkunftsangabe erst, wenn die Richtlinie für dein Unternehmen geprüft und angepasst ist.</w:t>
      </w:r>
    </w:p>
    <w:p>
      <w:r>
        <w:rPr>
          <w:b/>
        </w:rPr>
        <w:t>Version:</w:t>
      </w:r>
      <w:r>
        <w:t xml:space="preserve"> [Versionsnummer]</w:t>
      </w:r>
    </w:p>
    <w:p>
      <w:r>
        <w:rPr>
          <w:b/>
        </w:rPr>
        <w:t>Gültig ab:</w:t>
      </w:r>
      <w:r>
        <w:t xml:space="preserve"> [Datum]</w:t>
      </w:r>
    </w:p>
    <w:p>
      <w:r>
        <w:rPr>
          <w:b/>
        </w:rPr>
        <w:t>Verantwortlich:</w:t>
      </w:r>
      <w:r>
        <w:t xml:space="preserve"> [Name der verantwortlichen Person], [Funktion]</w:t>
      </w:r>
    </w:p>
    <w:p>
      <w:r>
        <w:rPr>
          <w:b/>
        </w:rPr>
        <w:t>Freigegeben von:</w:t>
      </w:r>
      <w:r>
        <w:t xml:space="preserve"> [Name], [Funktion], am [Datum]</w:t>
      </w:r>
    </w:p>
    <w:p>
      <w:r>
        <w:rPr>
          <w:b/>
        </w:rPr>
        <w:t>Nächste Überprüfung:</w:t>
      </w:r>
      <w:r>
        <w:t xml:space="preserve"> [Datum]</w:t>
      </w:r>
    </w:p>
    <w:p>
      <w:pPr>
        <w:pStyle w:val="Heading1"/>
      </w:pPr>
      <w:r>
        <w:t>1. Zweck und Geltungsbereich</w:t>
      </w:r>
    </w:p>
    <w:p>
      <w:r>
        <w:t>Diese Richtlinie regelt, wie bei [Firmenname] Werkzeuge mit künstlicher Intelligenz (KI) genutzt werden. Die Richtlinie soll den Nutzen von KI im Arbeitsalltag ermöglichen und zugleich Kundinnen und Kunden, Beschäftigte und das Unternehmen schützen.</w:t>
      </w:r>
    </w:p>
    <w:p>
      <w:r>
        <w:t>Die Richtlinie gilt für:</w:t>
      </w:r>
    </w:p>
    <w:p>
      <w:pPr>
        <w:pStyle w:val="ListBullet"/>
      </w:pPr>
      <w:r>
        <w:t>alle Beschäftigten von [Firmenname], einschließlich Auszubildender, Praktikantinnen und Praktikanten,</w:t>
      </w:r>
    </w:p>
    <w:p>
      <w:pPr>
        <w:pStyle w:val="ListBullet"/>
      </w:pPr>
      <w:r>
        <w:t>freie Mitarbeitende und Dienstleister, die im Auftrag von [Firmenname] arbeiten: [gilt / gilt nicht]; wenn die Richtlinie für sie gilt, wird das mit ihnen vertraglich vereinbart,</w:t>
      </w:r>
    </w:p>
    <w:p>
      <w:pPr>
        <w:pStyle w:val="ListBullet"/>
      </w:pPr>
      <w:r>
        <w:t>jede Nutzung von KI-Werkzeugen für die Arbeit, auch auf privaten Geräten und in privaten Konten.</w:t>
      </w:r>
    </w:p>
    <w:p>
      <w:r>
        <w:t>Die private Nutzung von KI-Werkzeugen außerhalb der Arbeit regelt diese Richtlinie nicht.</w:t>
      </w:r>
    </w:p>
    <w:p>
      <w:pPr>
        <w:pStyle w:val="Heading1"/>
      </w:pPr>
      <w:r>
        <w:t>2. Begriffe</w:t>
      </w:r>
    </w:p>
    <w:p>
      <w:pPr>
        <w:pStyle w:val="ListBullet"/>
      </w:pPr>
      <w:r>
        <w:rPr>
          <w:b/>
        </w:rPr>
        <w:t>KI-Werkzeug:</w:t>
      </w:r>
      <w:r>
        <w:t xml:space="preserve"> jede Software oder jeder Dienst, der mit künstlicher Intelligenz Texte, Bilder, Töne, Videos, Code, Übersetzungen, Zusammenfassungen, Vorhersagen oder Empfehlungen erzeugt. Dazu zählen Chat-Assistenten, Schreib- und Übersetzungswerkzeuge, Bildgeneratoren sowie KI-Funktionen in bereits genutzter Software.</w:t>
      </w:r>
    </w:p>
    <w:p>
      <w:pPr>
        <w:pStyle w:val="ListBullet"/>
      </w:pPr>
      <w:r>
        <w:rPr>
          <w:b/>
        </w:rPr>
        <w:t>Eingabe:</w:t>
      </w:r>
      <w:r>
        <w:t xml:space="preserve"> alles, was in ein KI-Werkzeug eingegeben oder hochgeladen wird, also Texte, Fragen, Dateien, Bilder oder Tonaufnahmen.</w:t>
      </w:r>
    </w:p>
    <w:p>
      <w:pPr>
        <w:pStyle w:val="ListBullet"/>
      </w:pPr>
      <w:r>
        <w:rPr>
          <w:b/>
        </w:rPr>
        <w:t>Ergebnis:</w:t>
      </w:r>
      <w:r>
        <w:t xml:space="preserve"> alles, was ein KI-Werkzeug ausgibt.</w:t>
      </w:r>
    </w:p>
    <w:p>
      <w:pPr>
        <w:pStyle w:val="ListBullet"/>
      </w:pPr>
      <w:r>
        <w:rPr>
          <w:b/>
        </w:rPr>
        <w:t>Personenbezogene Daten:</w:t>
      </w:r>
      <w:r>
        <w:t xml:space="preserve"> alle Informationen, die sich auf eine identifizierte oder identifizierbare natürliche Person beziehen, zum Beispiel ein Name, eine Kennnummer wie eine Kundennummer, Standortdaten oder eine Online-Kennung. Maßgeblich ist die Begriffsbestimmung in Artikel 4 Nummer 1 der Datenschutz-Grundverordnung (DSGVO).</w:t>
      </w:r>
    </w:p>
    <w:p>
      <w:pPr>
        <w:pStyle w:val="ListBullet"/>
      </w:pPr>
      <w:r>
        <w:rPr>
          <w:b/>
        </w:rPr>
        <w:t>Anbieter und Betreiber:</w:t>
      </w:r>
      <w:r>
        <w:t xml:space="preserve"> Begriffe der EU-KI-Verordnung (Artikel 3 Nummer 3 und 4). Anbieter ist, wer ein KI-System entwickelt oder entwickeln lässt und es unter eigenem Namen oder eigener Handelsmarke in Verkehr bringt oder in Betrieb nimmt. Betreiber ist, wer ein KI-System in eigener Verantwortung verwendet, außer im Rahmen einer persönlichen und nicht beruflichen Tätigkeit.</w:t>
      </w:r>
    </w:p>
    <w:p>
      <w:pPr>
        <w:pStyle w:val="ListBullet"/>
      </w:pPr>
      <w:r>
        <w:rPr>
          <w:b/>
        </w:rPr>
        <w:t>Freigabeliste:</w:t>
      </w:r>
      <w:r>
        <w:t xml:space="preserve"> die Liste der KI-Werkzeuge, die bei [Firmenname] für die Arbeit genutzt werden dürfen (Abschnitt 4).</w:t>
      </w:r>
    </w:p>
    <w:p>
      <w:pPr>
        <w:pStyle w:val="Heading1"/>
      </w:pPr>
      <w:r>
        <w:t>3. Verantwortung</w:t>
      </w:r>
    </w:p>
    <w:p>
      <w:pPr>
        <w:pStyle w:val="ListBullet"/>
      </w:pPr>
      <w:r>
        <w:t>Für diese Richtlinie ist [Name der verantwortlichen Person] verantwortlich. Diese Person führt die Freigabeliste, beantwortet Fragen und sorgt für die regelmäßige Überprüfung.</w:t>
      </w:r>
    </w:p>
    <w:p>
      <w:pPr>
        <w:pStyle w:val="ListBullet"/>
      </w:pPr>
      <w:r>
        <w:t>Vertretung: [Name der Vertretung].</w:t>
      </w:r>
    </w:p>
    <w:p>
      <w:pPr>
        <w:pStyle w:val="ListBullet"/>
      </w:pPr>
      <w:r>
        <w:t>Führungskräfte sorgen dafür, dass ihr Team die Richtlinie kennt und geschult ist.</w:t>
      </w:r>
    </w:p>
    <w:p>
      <w:pPr>
        <w:pStyle w:val="ListBullet"/>
      </w:pPr>
      <w:r>
        <w:t>Für jedes Ergebnis, das verwendet wird, ist die Person verantwortlich, die es verwendet. Ein KI-Werkzeug übernimmt keine Verantwortung.</w:t>
      </w:r>
    </w:p>
    <w:p>
      <w:pPr>
        <w:pStyle w:val="Heading1"/>
      </w:pPr>
      <w:r>
        <w:t>4. Erlaubte KI-Werkzeuge und Freigabe</w:t>
      </w:r>
    </w:p>
    <w:p>
      <w:pPr>
        <w:pStyle w:val="Heading2"/>
      </w:pPr>
      <w:r>
        <w:t>4.1 Freigabeliste</w:t>
      </w:r>
    </w:p>
    <w:p>
      <w:r>
        <w:t>Für die Arbeit dürfen nur KI-Werkzeuge genutzt werden, die auf der Freigabeliste stehen. Die Freigabeliste nennt für jedes Werkzeug, für welche Datenklassen (Abschnitt 5) es freigegeben ist.</w:t>
      </w:r>
    </w:p>
    <w:p>
      <w:pPr>
        <w:pStyle w:val="ListBullet"/>
      </w:pPr>
      <w:r>
        <w:t>[Name des Werkzeugs 1]: freigegeben für [Datenklassen], Nutzung über [Firmenkonto oder Lizenz]</w:t>
      </w:r>
    </w:p>
    <w:p>
      <w:pPr>
        <w:pStyle w:val="ListBullet"/>
      </w:pPr>
      <w:r>
        <w:t>[Name des Werkzeugs 2]: freigegeben für [Datenklassen], Nutzung über [Firmenkonto oder Lizenz]</w:t>
      </w:r>
    </w:p>
    <w:p>
      <w:pPr>
        <w:pStyle w:val="ListBullet"/>
      </w:pPr>
      <w:r>
        <w:t>[Name des Werkzeugs 3]: freigegeben für [Datenklassen], Nutzung über [Firmenkonto oder Lizenz]</w:t>
      </w:r>
    </w:p>
    <w:p>
      <w:r>
        <w:t>Freigegebene Werkzeuge werden über die Firmenkonten von [Firmenname] genutzt. Private Konten sind für die Arbeit nur nach Freigabe durch [Funktion] erlaubt.</w:t>
      </w:r>
    </w:p>
    <w:p>
      <w:r>
        <w:t>Die aktuelle Freigabeliste liegt hier: [Ablageort].</w:t>
      </w:r>
    </w:p>
    <w:p>
      <w:pPr>
        <w:pStyle w:val="Heading2"/>
      </w:pPr>
      <w:r>
        <w:t>4.2 Neues Werkzeug beantragen</w:t>
      </w:r>
    </w:p>
    <w:p>
      <w:r>
        <w:t>Wer ein KI-Werkzeug nutzen möchte, das nicht auf der Freigabeliste steht, beantragt es vorher bei [Name der verantwortlichen Person]. Das gilt auch für kostenlose Werkzeuge und für neue KI-Funktionen in bereits genutzter Software. Der Antrag enthält:</w:t>
      </w:r>
    </w:p>
    <w:p>
      <w:pPr>
        <w:pStyle w:val="ListNumber"/>
        <w:numPr>
          <w:ilvl w:val="0"/>
          <w:numId w:val="10"/>
        </w:numPr>
      </w:pPr>
      <w:r>
        <w:t>Name und Anbieter des Werkzeugs,</w:t>
      </w:r>
    </w:p>
    <w:p>
      <w:pPr>
        <w:pStyle w:val="ListNumber"/>
        <w:numPr>
          <w:ilvl w:val="0"/>
          <w:numId w:val="10"/>
        </w:numPr>
      </w:pPr>
      <w:r>
        <w:t>wofür es genutzt werden soll,</w:t>
      </w:r>
    </w:p>
    <w:p>
      <w:pPr>
        <w:pStyle w:val="ListNumber"/>
        <w:numPr>
          <w:ilvl w:val="0"/>
          <w:numId w:val="10"/>
        </w:numPr>
      </w:pPr>
      <w:r>
        <w:t>welche Datenklassen eingegeben werden sollen,</w:t>
      </w:r>
    </w:p>
    <w:p>
      <w:pPr>
        <w:pStyle w:val="ListNumber"/>
        <w:numPr>
          <w:ilvl w:val="0"/>
          <w:numId w:val="10"/>
        </w:numPr>
      </w:pPr>
      <w:r>
        <w:t>wo der Anbieter die Daten verarbeitet und speichert, soweit bekannt.</w:t>
      </w:r>
    </w:p>
    <w:p>
      <w:r>
        <w:t>Vor der Freigabe prüft [Name der verantwortlichen Person] gemeinsam mit [zuständige Person für Datenschutz und IT] insbesondere die Nutzungs- und Datenschutzbedingungen des Anbieters, ob Eingaben zum Training verwendet werden und ob das Werkzeug über ein Firmenkonto genutzt werden kann. Die Entscheidung wird schriftlich festgehalten.</w:t>
      </w:r>
    </w:p>
    <w:p>
      <w:pPr>
        <w:pStyle w:val="Heading1"/>
      </w:pPr>
      <w:r>
        <w:t>5. Umgang mit Daten</w:t>
      </w:r>
    </w:p>
    <w:p>
      <w:pPr>
        <w:pStyle w:val="Heading2"/>
      </w:pPr>
      <w:r>
        <w:t>5.1 Datenklassen</w:t>
      </w:r>
    </w:p>
    <w:p>
      <w:r>
        <w:t>Jede Angabe gehört zu einer Datenklasse. Fällt eine Angabe in mehrere Klassen, gilt die strengere Regel.</w:t>
      </w:r>
    </w:p>
    <w:tbl>
      <w:tblPr>
        <w:tblStyle w:val="TableGrid"/>
        <w:tblW w:type="auto" w:w="0"/>
        <w:tblLook w:firstColumn="1" w:firstRow="1" w:lastColumn="0" w:lastRow="0" w:noHBand="0" w:noVBand="1" w:val="04A0"/>
      </w:tblPr>
      <w:tblGrid>
        <w:gridCol w:w="3024"/>
        <w:gridCol w:w="3024"/>
        <w:gridCol w:w="3024"/>
      </w:tblGrid>
      <w:tr>
        <w:tc>
          <w:tcPr>
            <w:tcW w:type="dxa" w:w="3024"/>
          </w:tcPr>
          <w:p>
            <w:r>
              <w:rPr>
                <w:b/>
              </w:rPr>
            </w:r>
            <w:r>
              <w:rPr>
                <w:b/>
              </w:rPr>
              <w:t>Datenklasse</w:t>
            </w:r>
          </w:p>
        </w:tc>
        <w:tc>
          <w:tcPr>
            <w:tcW w:type="dxa" w:w="3024"/>
          </w:tcPr>
          <w:p>
            <w:r>
              <w:rPr>
                <w:b/>
              </w:rPr>
            </w:r>
            <w:r>
              <w:rPr>
                <w:b/>
              </w:rPr>
              <w:t>Beispiele</w:t>
            </w:r>
          </w:p>
        </w:tc>
        <w:tc>
          <w:tcPr>
            <w:tcW w:type="dxa" w:w="3024"/>
          </w:tcPr>
          <w:p>
            <w:r>
              <w:rPr>
                <w:b/>
              </w:rPr>
            </w:r>
            <w:r>
              <w:rPr>
                <w:b/>
              </w:rPr>
              <w:t>Eingabe in KI-Werkzeuge</w:t>
            </w:r>
          </w:p>
        </w:tc>
      </w:tr>
      <w:tr>
        <w:tc>
          <w:tcPr>
            <w:tcW w:type="dxa" w:w="3024"/>
          </w:tcPr>
          <w:p>
            <w:r/>
            <w:r>
              <w:t>Öffentlich</w:t>
            </w:r>
          </w:p>
        </w:tc>
        <w:tc>
          <w:tcPr>
            <w:tcW w:type="dxa" w:w="3024"/>
          </w:tcPr>
          <w:p>
            <w:r/>
            <w:r>
              <w:t>veröffentlichte Website-Texte, Prospekte, öffentliche Pressemitteilungen</w:t>
            </w:r>
          </w:p>
        </w:tc>
        <w:tc>
          <w:tcPr>
            <w:tcW w:type="dxa" w:w="3024"/>
          </w:tcPr>
          <w:p>
            <w:r/>
            <w:r>
              <w:t>in allen Werkzeugen der Freigabeliste erlaubt</w:t>
            </w:r>
          </w:p>
        </w:tc>
      </w:tr>
      <w:tr>
        <w:tc>
          <w:tcPr>
            <w:tcW w:type="dxa" w:w="3024"/>
          </w:tcPr>
          <w:p>
            <w:r/>
            <w:r>
              <w:t>Intern</w:t>
            </w:r>
          </w:p>
        </w:tc>
        <w:tc>
          <w:tcPr>
            <w:tcW w:type="dxa" w:w="3024"/>
          </w:tcPr>
          <w:p>
            <w:r/>
            <w:r>
              <w:t>interne Abläufe, Entwürfe und Notizen ohne Personenbezug und ohne Geschäftsgeheimnisse</w:t>
            </w:r>
          </w:p>
        </w:tc>
        <w:tc>
          <w:tcPr>
            <w:tcW w:type="dxa" w:w="3024"/>
          </w:tcPr>
          <w:p>
            <w:r/>
            <w:r>
              <w:t>nur in Werkzeugen, die für „intern“ freigegeben sind</w:t>
            </w:r>
          </w:p>
        </w:tc>
      </w:tr>
      <w:tr>
        <w:tc>
          <w:tcPr>
            <w:tcW w:type="dxa" w:w="3024"/>
          </w:tcPr>
          <w:p>
            <w:r/>
            <w:r>
              <w:t>Vertraulich</w:t>
            </w:r>
          </w:p>
        </w:tc>
        <w:tc>
          <w:tcPr>
            <w:tcW w:type="dxa" w:w="3024"/>
          </w:tcPr>
          <w:p>
            <w:r/>
            <w:r>
              <w:t>Angebote, Kalkulationen, Verträge, Unterlagen aus Kundenprojekten, Geschäftsgeheimnisse, nicht veröffentlichte Pläne</w:t>
            </w:r>
          </w:p>
        </w:tc>
        <w:tc>
          <w:tcPr>
            <w:tcW w:type="dxa" w:w="3024"/>
          </w:tcPr>
          <w:p>
            <w:r/>
            <w:r>
              <w:t>nur mit ausdrücklicher Freigabe durch [Funktion] und nur in Werkzeugen, die für „vertraulich“ freigegeben sind</w:t>
            </w:r>
          </w:p>
        </w:tc>
      </w:tr>
      <w:tr>
        <w:tc>
          <w:tcPr>
            <w:tcW w:type="dxa" w:w="3024"/>
          </w:tcPr>
          <w:p>
            <w:r/>
            <w:r>
              <w:t>Personenbezogen</w:t>
            </w:r>
          </w:p>
        </w:tc>
        <w:tc>
          <w:tcPr>
            <w:tcW w:type="dxa" w:w="3024"/>
          </w:tcPr>
          <w:p>
            <w:r/>
            <w:r>
              <w:t>Namen, Kontaktdaten, Kundennummern, Daten von Kundschaft und Beschäftigten, Bewerbungsunterlagen, Gesundheitsdaten</w:t>
            </w:r>
          </w:p>
        </w:tc>
        <w:tc>
          <w:tcPr>
            <w:tcW w:type="dxa" w:w="3024"/>
          </w:tcPr>
          <w:p>
            <w:r/>
            <w:r>
              <w:t>nur mit ausdrücklicher Freigabe durch [Funktion] nach Abstimmung mit [zuständige Person für Datenschutz] und nur in Werkzeugen, die für „personenbezogen“ freigegeben sind</w:t>
            </w:r>
          </w:p>
        </w:tc>
      </w:tr>
      <w:tr>
        <w:tc>
          <w:tcPr>
            <w:tcW w:type="dxa" w:w="3024"/>
          </w:tcPr>
          <w:p>
            <w:r/>
            <w:r>
              <w:t>Nie eingeben</w:t>
            </w:r>
          </w:p>
        </w:tc>
        <w:tc>
          <w:tcPr>
            <w:tcW w:type="dxa" w:w="3024"/>
          </w:tcPr>
          <w:p>
            <w:r/>
            <w:r>
              <w:t>Passwörter, Zugangsdaten, Schlüssel für Schnittstellen, Bank- und Zahlungsdaten</w:t>
            </w:r>
          </w:p>
        </w:tc>
        <w:tc>
          <w:tcPr>
            <w:tcW w:type="dxa" w:w="3024"/>
          </w:tcPr>
          <w:p>
            <w:r/>
            <w:r>
              <w:t>in keinem KI-Werkzeug erlaubt</w:t>
            </w:r>
          </w:p>
        </w:tc>
      </w:tr>
    </w:tbl>
    <w:p>
      <w:pPr>
        <w:pStyle w:val="Heading2"/>
      </w:pPr>
      <w:r>
        <w:t>5.2 Eingaben nur mit Freigabe</w:t>
      </w:r>
    </w:p>
    <w:p>
      <w:r>
        <w:t>Ohne ausdrückliche Freigabe nach Abschnitt 5.1 werden nicht in KI-Werkzeuge eingegeben oder hochgeladen:</w:t>
      </w:r>
    </w:p>
    <w:p>
      <w:pPr>
        <w:pStyle w:val="ListBullet"/>
      </w:pPr>
      <w:r>
        <w:t>personenbezogene Daten von Kundinnen und Kunden, Beschäftigten, Bewerberinnen und Bewerbern oder anderen Personen,</w:t>
      </w:r>
    </w:p>
    <w:p>
      <w:pPr>
        <w:pStyle w:val="ListBullet"/>
      </w:pPr>
      <w:r>
        <w:t>Kundendaten und Unterlagen aus Kundenprojekten,</w:t>
      </w:r>
    </w:p>
    <w:p>
      <w:pPr>
        <w:pStyle w:val="ListBullet"/>
      </w:pPr>
      <w:r>
        <w:t>Geschäftsgeheimnisse, zum Beispiel Preise, Kalkulationen, Rezepturen, Quellcode oder nicht veröffentlichte Pläne,</w:t>
      </w:r>
    </w:p>
    <w:p>
      <w:pPr>
        <w:pStyle w:val="ListBullet"/>
      </w:pPr>
      <w:r>
        <w:t>Inhalte, die [Firmenname] aufgrund einer Vertraulichkeitsvereinbarung schützen muss.</w:t>
      </w:r>
    </w:p>
    <w:p>
      <w:r>
        <w:t>Ist unklar, ob eine Angabe eine Freigabe braucht, wird vor der Eingabe [Name der verantwortlichen Person] gefragt.</w:t>
      </w:r>
    </w:p>
    <w:p>
      <w:pPr>
        <w:pStyle w:val="Heading2"/>
      </w:pPr>
      <w:r>
        <w:t>5.3 Was nie in ein KI-Werkzeug gehört</w:t>
      </w:r>
    </w:p>
    <w:p>
      <w:r>
        <w:t>Passwörter, Zugangsdaten, Schlüssel für Schnittstellen sowie Bank- und Zahlungsdaten werden in kein KI-Werkzeug eingegeben, auch nicht in ein freigegebenes und auch nicht mit Freigabe.</w:t>
      </w:r>
    </w:p>
    <w:p>
      <w:pPr>
        <w:pStyle w:val="Heading1"/>
      </w:pPr>
      <w:r>
        <w:t>6. Umgang mit Ergebnissen</w:t>
      </w:r>
    </w:p>
    <w:p>
      <w:pPr>
        <w:pStyle w:val="ListBullet"/>
      </w:pPr>
      <w:r>
        <w:rPr>
          <w:b/>
        </w:rPr>
        <w:t>Menschliche Prüfung:</w:t>
      </w:r>
      <w:r>
        <w:t xml:space="preserve"> Ergebnisse von KI-Werkzeugen können falsch, unvollständig oder veraltet sein. Jedes Ergebnis wird von einem Menschen auf Richtigkeit geprüft, bevor es an Kundinnen, Kunden oder andere Dritte geht, veröffentlicht wird oder in eine Entscheidung einfließt.</w:t>
      </w:r>
    </w:p>
    <w:p>
      <w:pPr>
        <w:pStyle w:val="ListBullet"/>
      </w:pPr>
      <w:r>
        <w:rPr>
          <w:b/>
        </w:rPr>
        <w:t>Keine ungeprüfte Veröffentlichung:</w:t>
      </w:r>
      <w:r>
        <w:t xml:space="preserve"> Nichts, was ein KI-Werkzeug erzeugt hat, wird ohne diese Prüfung veröffentlicht oder nach außen gegeben.</w:t>
      </w:r>
    </w:p>
    <w:p>
      <w:pPr>
        <w:pStyle w:val="ListBullet"/>
      </w:pPr>
      <w:r>
        <w:rPr>
          <w:b/>
        </w:rPr>
        <w:t>Entscheidungen über Menschen:</w:t>
      </w:r>
      <w:r>
        <w:t xml:space="preserve"> Entscheidungen, die Personen erheblich betreffen, zum Beispiel über Bewerbungen, Verträge oder Beschwerden, trifft ein Mensch. Ein KI-Werkzeug darf solche Entscheidungen höchstens vorbereiten.</w:t>
      </w:r>
    </w:p>
    <w:p>
      <w:pPr>
        <w:pStyle w:val="ListBullet"/>
      </w:pPr>
      <w:r>
        <w:rPr>
          <w:b/>
        </w:rPr>
        <w:t>Kennzeichnung:</w:t>
      </w:r>
      <w:r>
        <w:t xml:space="preserve"> Wo eine Kennzeichnung gesetzlich vorgeschrieben ist (siehe Abschnitt 7) oder von [Firmenname] festgelegt wird, werden Ergebnisse als mit KI erzeugt gekennzeichnet. Intern legt [Firmenname] fest: [eigene Regel zur Kennzeichnung, zum Beispiel für Bilder auf der Website].</w:t>
      </w:r>
    </w:p>
    <w:p>
      <w:pPr>
        <w:pStyle w:val="ListBullet"/>
      </w:pPr>
      <w:r>
        <w:rPr>
          <w:b/>
        </w:rPr>
        <w:t>Rechte Dritter:</w:t>
      </w:r>
      <w:r>
        <w:t xml:space="preserve"> Bei Texten, Bildern, Musik oder Code, die nach außen gehen, wird darauf geachtet, dass keine Urheberrechte, Markenrechte oder andere Rechte Dritter verletzt werden. In Zweifelsfällen wird [Name der verantwortlichen Person] gefragt, die bei Bedarf rechtlichen Rat einholt.</w:t>
      </w:r>
    </w:p>
    <w:p>
      <w:pPr>
        <w:pStyle w:val="Heading1"/>
      </w:pPr>
      <w:r>
        <w:t>7. Transparenz gegenüber Kundschaft und Öffentlichkeit</w:t>
      </w:r>
    </w:p>
    <w:p>
      <w:pPr>
        <w:pStyle w:val="ListBullet"/>
      </w:pPr>
      <w:r>
        <w:rPr>
          <w:b/>
        </w:rPr>
        <w:t>Kommunikation mit KI:</w:t>
      </w:r>
      <w:r>
        <w:t xml:space="preserve"> Wenn Kundinnen und Kunden direkt mit einem KI-System kommunizieren, zum Beispiel mit einem Chat-Assistenten auf der Website, soll für sie klar erkennbar sein, dass sie mit einer KI kommunizieren. Nach Artikel 50 Absatz 1 der EU-KI-Verordnung müssen die Anbieter solcher Systeme sie so gestalten, dass die Menschen darüber informiert werden, außer es ist offensichtlich. Bei gekauften Systemen klärt [Name der verantwortlichen Person] mit dem Anbieter, wie dieser Hinweis umgesetzt ist. Lässt [Firmenname] ein solches System entwickeln und setzt es unter eigenem Namen ein, wird rechtlich geprüft, ob [Firmenname] damit selbst Anbieter ist.</w:t>
      </w:r>
    </w:p>
    <w:p>
      <w:pPr>
        <w:pStyle w:val="ListBullet"/>
      </w:pPr>
      <w:r>
        <w:rPr>
          <w:b/>
        </w:rPr>
        <w:t>Deepfakes:</w:t>
      </w:r>
      <w:r>
        <w:t xml:space="preserve"> Bild-, Ton- oder Videoinhalte, die mit einem KI-System erzeugt oder verändert wurden, wirklichen Personen, Gegenständen, Orten, Einrichtungen oder Ereignissen ähneln und einer Person fälschlicherweise als echt oder wahrheitsgemäß erscheinen würden, werden als künstlich erzeugt oder verändert offengelegt (Artikel 50 Absatz 4 und Artikel 3 Nummer 60 der EU-KI-Verordnung).</w:t>
      </w:r>
    </w:p>
    <w:p>
      <w:pPr>
        <w:pStyle w:val="ListBullet"/>
      </w:pPr>
      <w:r>
        <w:rPr>
          <w:b/>
        </w:rPr>
        <w:t>Texte zu Angelegenheiten von öffentlichem Interesse:</w:t>
      </w:r>
      <w:r>
        <w:t xml:space="preserve"> Wenn [Firmenname] mit KI erzeugte oder veränderte Texte veröffentlicht, um die Öffentlichkeit über Angelegenheiten von öffentlichem Interesse zu informieren, wird offengelegt, dass der Text künstlich erzeugt oder verändert wurde. Das entfällt nach Artikel 50 Absatz 4, wenn der Text von einem Menschen geprüft oder redaktionell kontrolliert wurde und eine Person die redaktionelle Verantwortung für die Veröffentlichung trägt. Diese Person ist bei [Firmenname]: [Name].</w:t>
      </w:r>
    </w:p>
    <w:p>
      <w:pPr>
        <w:pStyle w:val="ListBullet"/>
      </w:pPr>
      <w:r>
        <w:rPr>
          <w:b/>
        </w:rPr>
        <w:t>Zeitpunkt:</w:t>
      </w:r>
      <w:r>
        <w:t xml:space="preserve"> Die Information erfolgt klar und eindeutig spätestens bei der ersten Interaktion oder beim ersten Kontakt mit dem Inhalt (Artikel 50 Absatz 5).</w:t>
      </w:r>
    </w:p>
    <w:p>
      <w:pPr>
        <w:pStyle w:val="Heading1"/>
      </w:pPr>
      <w:r>
        <w:t>8. KI-Kompetenz und Schulung</w:t>
      </w:r>
    </w:p>
    <w:p>
      <w:r>
        <w:t>Nach Artikel 4 der EU-KI-Verordnung ergreifen Anbieter und Betreiber von KI-Systemen Maßnahmen, um die Entwicklung der KI-Kompetenz ihres Personals und anderer Personen zu unterstützen, die in ihrem Auftrag mit dem Betrieb und der Nutzung von KI-Systemen befasst sind. Dabei sind unter anderem technische Kenntnisse, Erfahrung, Aus- und Fortbildung und der Einsatzkontext zu berücksichtigen. [Firmenname] setzt das so um:</w:t>
      </w:r>
    </w:p>
    <w:p>
      <w:pPr>
        <w:pStyle w:val="ListNumber"/>
        <w:numPr>
          <w:ilvl w:val="0"/>
          <w:numId w:val="11"/>
        </w:numPr>
      </w:pPr>
      <w:r>
        <w:t>Wer KI-Werkzeuge für die Arbeit nutzt, erhält vor der ersten Nutzung eine Einführung in diese Richtlinie und in die freigegebenen Werkzeuge.</w:t>
      </w:r>
    </w:p>
    <w:p>
      <w:pPr>
        <w:pStyle w:val="ListNumber"/>
        <w:numPr>
          <w:ilvl w:val="0"/>
          <w:numId w:val="11"/>
        </w:numPr>
      </w:pPr>
      <w:r>
        <w:t>Die Einführung behandelt mindestens: Chancen und Grenzen von KI, typische Fehler in Ergebnissen, den Umgang mit Daten nach Abschnitt 5 und die Prüfung von Ergebnissen nach Abschnitt 6.</w:t>
      </w:r>
    </w:p>
    <w:p>
      <w:pPr>
        <w:pStyle w:val="ListNumber"/>
        <w:numPr>
          <w:ilvl w:val="0"/>
          <w:numId w:val="11"/>
        </w:numPr>
      </w:pPr>
      <w:r>
        <w:t>Eine Auffrischung findet statt [Rhythmus, zum Beispiel einmal im Jahr] sowie immer dann, wenn neue Werkzeuge freigegeben werden oder sich diese Richtlinie wesentlich ändert.</w:t>
      </w:r>
    </w:p>
    <w:p>
      <w:pPr>
        <w:pStyle w:val="ListNumber"/>
        <w:numPr>
          <w:ilvl w:val="0"/>
          <w:numId w:val="11"/>
        </w:numPr>
      </w:pPr>
      <w:r>
        <w:t>Teilnahme und Inhalte der Schulungen werden dokumentiert. Zuständig: [Name der verantwortlichen Person].</w:t>
      </w:r>
    </w:p>
    <w:p>
      <w:pPr>
        <w:pStyle w:val="Heading1"/>
      </w:pPr>
      <w:r>
        <w:t>9. Vorfälle und Ansprechperson</w:t>
      </w:r>
    </w:p>
    <w:p>
      <w:r>
        <w:t>Ein Vorfall liegt zum Beispiel vor, wenn:</w:t>
      </w:r>
    </w:p>
    <w:p>
      <w:pPr>
        <w:pStyle w:val="ListBullet"/>
      </w:pPr>
      <w:r>
        <w:t>vertrauliche oder personenbezogene Daten ohne Freigabe in ein KI-Werkzeug gelangt sind,</w:t>
      </w:r>
    </w:p>
    <w:p>
      <w:pPr>
        <w:pStyle w:val="ListBullet"/>
      </w:pPr>
      <w:r>
        <w:t>Passwörter oder Zugangsdaten in ein KI-Werkzeug eingegeben wurden,</w:t>
      </w:r>
    </w:p>
    <w:p>
      <w:pPr>
        <w:pStyle w:val="ListBullet"/>
      </w:pPr>
      <w:r>
        <w:t>ein fehlerhaftes KI-Ergebnis an Kundinnen, Kunden oder Dritte gegangen ist,</w:t>
      </w:r>
    </w:p>
    <w:p>
      <w:pPr>
        <w:pStyle w:val="ListBullet"/>
      </w:pPr>
      <w:r>
        <w:t>ein KI-Werkzeug sich unerwartet verhält oder ein Zugang missbraucht worden sein könnte.</w:t>
      </w:r>
    </w:p>
    <w:p>
      <w:r>
        <w:t>Vorfälle werden sofort gemeldet an: [Name der Ansprechperson], [E-Mail-Adresse]. Vertretung: [Name], [E-Mail-Adresse].</w:t>
      </w:r>
    </w:p>
    <w:p>
      <w:r>
        <w:t>Wer einen Fehler meldet, handelt richtig. Ziel ist, den Schaden klein zu halten und daraus zu lernen. Ob ein Vorfall weitere Pflichten auslöst, zum Beispiel nach dem Datenschutzrecht, prüft [zuständige Person für Datenschutz] unverzüglich.</w:t>
      </w:r>
    </w:p>
    <w:p>
      <w:pPr>
        <w:pStyle w:val="Heading1"/>
      </w:pPr>
      <w:r>
        <w:t>10. Verstöße</w:t>
      </w:r>
    </w:p>
    <w:p>
      <w:r>
        <w:t>Für Verstöße gegen diese Richtlinie gelten die bestehenden Regelungen von [Firmenname], zum Beispiel aus dem Arbeitsvertrag und aus internen Vorgaben: [Verweis auf bestehende Regelungen]. Diese Richtlinie schafft keine eigenen Sanktionen.</w:t>
      </w:r>
    </w:p>
    <w:p>
      <w:pPr>
        <w:pStyle w:val="Heading1"/>
      </w:pPr>
      <w:r>
        <w:t>11. Überprüfung und Änderungen</w:t>
      </w:r>
    </w:p>
    <w:p>
      <w:pPr>
        <w:pStyle w:val="ListBullet"/>
      </w:pPr>
      <w:r>
        <w:t>Diese Richtlinie wird mindestens [alle sechs oder zwölf Monate] überprüft.</w:t>
      </w:r>
    </w:p>
    <w:p>
      <w:pPr>
        <w:pStyle w:val="ListBullet"/>
      </w:pPr>
      <w:r>
        <w:t>Die Richtlinie wird außerdem überprüft, wenn ein neues KI-Werkzeug freigegeben wird, wenn ein Vorfall es nahelegt oder wenn sich die Rechtslage ändert.</w:t>
      </w:r>
    </w:p>
    <w:p>
      <w:pPr>
        <w:pStyle w:val="ListBullet"/>
      </w:pPr>
      <w:r>
        <w:t>Änderungen werden allen Betroffenen mitgeteilt. Wesentliche Änderungen werden erneut zur Kenntnis gegeben.</w:t>
      </w:r>
    </w:p>
    <w:p>
      <w:pPr>
        <w:pStyle w:val="ListBullet"/>
      </w:pPr>
      <w:r>
        <w:t>[Falls es einen Betriebsrat gibt: Hinweis, wie der Betriebsrat einbezogen wurde und wird.]</w:t>
      </w:r>
    </w:p>
    <w:p>
      <w:pPr>
        <w:pStyle w:val="Heading1"/>
      </w:pPr>
      <w:r>
        <w:t>12. Kenntnisnahme</w:t>
      </w:r>
    </w:p>
    <w:p>
      <w:r>
        <w:t>Ich habe die KI-Richtlinie von [Firmenname] in der Version [Versionsnummer] gelesen und verstanden. Ich halte mich bei der Arbeit mit KI-Werkzeugen an diese Richtlinie und wende mich bei Fragen an [Name der verantwortlichen Person].</w:t>
      </w:r>
    </w:p>
    <w:p>
      <w:r>
        <w:rPr>
          <w:b/>
        </w:rPr>
        <w:t>Name:</w:t>
      </w:r>
      <w:r>
        <w:t xml:space="preserve"> [Vorname Nachname]</w:t>
      </w:r>
    </w:p>
    <w:p>
      <w:r>
        <w:rPr>
          <w:b/>
        </w:rPr>
        <w:t>Abteilung oder Funktion:</w:t>
      </w:r>
      <w:r>
        <w:t xml:space="preserve"> [Abteilung oder Funktion]</w:t>
      </w:r>
    </w:p>
    <w:p>
      <w:r>
        <w:rPr>
          <w:b/>
        </w:rPr>
        <w:t>Ort, Datum:</w:t>
      </w:r>
      <w:r>
        <w:t xml:space="preserve"> [Ort], [Datum]</w:t>
      </w:r>
    </w:p>
    <w:p>
      <w:r>
        <w:rPr>
          <w:b/>
        </w:rPr>
        <w:t>Unterschrift:</w:t>
      </w:r>
      <w:r>
        <w:t xml:space="preserve"> ______________________________</w:t>
      </w:r>
    </w:p>
    <w:p>
      <w:pPr>
        <w:pStyle w:val="Heading1"/>
      </w:pPr>
      <w:r>
        <w:t>Rechtsgrundlagen dieser Vorlage</w:t>
      </w:r>
    </w:p>
    <w:p>
      <w:r>
        <w:t>Stand: 13. Oktober 2026. Die Angaben zur EU-KI-Verordnung (Verordnung (EU) 2024/1689) folgen der konsolidierten Fassung mit Stand vom 27. Juli 2026, die die Änderungen durch die Verordnung (EU) 2026/1744 vom 8. Juli 2026 enthält:</w:t>
      </w:r>
    </w:p>
    <w:p>
      <w:pPr>
        <w:pStyle w:val="ListBullet"/>
      </w:pPr>
      <w:r>
        <w:t>Konsolidierte Fassung auf EUR-Lex: https://eur-lex.europa.eu/legal-content/DE/TXT/?uri=CELEX:02024R1689-20260727</w:t>
      </w:r>
    </w:p>
    <w:p>
      <w:pPr>
        <w:pStyle w:val="ListBullet"/>
      </w:pPr>
      <w:r>
        <w:t>Artikel 3 (Begriffsbestimmungen): https://ai-act-service-desk.ec.europa.eu/de/ai-act/article-3</w:t>
      </w:r>
    </w:p>
    <w:p>
      <w:pPr>
        <w:pStyle w:val="ListBullet"/>
      </w:pPr>
      <w:r>
        <w:t>Artikel 4 (KI-Kompetenz), gilt seit dem 2. Februar 2025, Wortlaut geändert durch die Verordnung (EU) 2026/1744: https://ai-act-service-desk.ec.europa.eu/de/ai-act/article-4</w:t>
      </w:r>
    </w:p>
    <w:p>
      <w:pPr>
        <w:pStyle w:val="ListBullet"/>
      </w:pPr>
      <w:r>
        <w:t>Artikel 50 (Transparenzpflichten), gilt seit dem 2. August 2026: https://ai-act-service-desk.ec.europa.eu/de/ai-act/article-50</w:t>
      </w:r>
    </w:p>
    <w:p>
      <w:pPr>
        <w:pStyle w:val="ListBullet"/>
      </w:pPr>
      <w:r>
        <w:t>Artikel 113 (Geltungsbeginn): https://ai-act-service-desk.ec.europa.eu/de/ai-act/article-113</w:t>
      </w:r>
    </w:p>
    <w:p>
      <w:pPr>
        <w:pStyle w:val="ListBullet"/>
      </w:pPr>
      <w:r>
        <w:t>Artikel 4 Nummer 1 DSGVO (Verordnung (EU) 2016/679), personenbezogene Daten: https://eur-lex.europa.eu/legal-content/DE/TXT/HTML/?uri=CELEX:32016R0679</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lang w:val="de-AT" w:eastAsia="de-A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A1A1A"/>
      <w:sz w:val="28"/>
      <w:szCs w:val="28"/>
      <w:lang w:val="de-AT" w:eastAsia="de-AT"/>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A1A1A"/>
      <w:sz w:val="26"/>
      <w:szCs w:val="26"/>
      <w:lang w:val="de-AT" w:eastAsia="de-AT"/>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A1A1A"/>
      <w:spacing w:val="5"/>
      <w:kern w:val="28"/>
      <w:sz w:val="52"/>
      <w:szCs w:val="52"/>
      <w:lang w:val="de-AT" w:eastAsia="de-AT"/>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lang w:val="de-AT" w:eastAsia="de-AT"/>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lang w:val="de-AT" w:eastAsia="de-AT"/>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KI-Richtlinie von [Firmenname]</dc:title>
  <dc:subject/>
  <dc:creator>architect5</dc:creator>
  <cp:keywords/>
  <dc:description/>
  <cp:lastModifiedBy>architect5</cp:lastModifiedBy>
  <cp:revision>1</cp:revision>
  <dcterms:created xsi:type="dcterms:W3CDTF">2026-10-13T00:00:00Z</dcterms:created>
  <dcterms:modified xsi:type="dcterms:W3CDTF">2026-10-13T00:00:00Z</dcterms:modified>
  <cp:category/>
  <dc:language>de-AT</dc:language>
</cp:coreProperties>
</file>